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6" w:type="dxa"/>
        <w:jc w:val="center"/>
        <w:tblLook w:val="00A0"/>
      </w:tblPr>
      <w:tblGrid>
        <w:gridCol w:w="673"/>
        <w:gridCol w:w="1520"/>
        <w:gridCol w:w="890"/>
        <w:gridCol w:w="3402"/>
        <w:gridCol w:w="1466"/>
        <w:gridCol w:w="2645"/>
      </w:tblGrid>
      <w:tr w:rsidR="00AE0C2B" w:rsidRPr="00AE0C2B">
        <w:trPr>
          <w:trHeight w:val="945"/>
          <w:jc w:val="center"/>
        </w:trPr>
        <w:tc>
          <w:tcPr>
            <w:tcW w:w="10596" w:type="dxa"/>
            <w:gridSpan w:val="6"/>
            <w:tcBorders>
              <w:top w:val="nil"/>
              <w:left w:val="nil"/>
              <w:bottom w:val="single" w:sz="8" w:space="0" w:color="auto"/>
              <w:right w:val="nil"/>
            </w:tcBorders>
            <w:shd w:val="clear" w:color="auto" w:fill="auto"/>
            <w:noWrap/>
            <w:vAlign w:val="center"/>
            <w:hideMark/>
          </w:tcPr>
          <w:p w:rsidR="00AE0C2B" w:rsidRPr="00AE0C2B" w:rsidRDefault="00AE0C2B" w:rsidP="00AE0C2B">
            <w:pPr>
              <w:widowControl/>
              <w:spacing w:beforeLines="50" w:afterLines="50"/>
              <w:jc w:val="center"/>
              <w:rPr>
                <w:rFonts w:ascii="宋体" w:eastAsia="宋体" w:hAnsi="宋体" w:cs="宋体"/>
                <w:kern w:val="0"/>
                <w:sz w:val="24"/>
                <w:szCs w:val="24"/>
              </w:rPr>
            </w:pPr>
            <w:r w:rsidRPr="00AE0C2B">
              <w:rPr>
                <w:rFonts w:ascii="华文中宋" w:eastAsia="华文中宋" w:hAnsi="华文中宋" w:cs="宋体" w:hint="eastAsia"/>
                <w:b/>
                <w:bCs/>
                <w:color w:val="000000"/>
                <w:kern w:val="0"/>
                <w:sz w:val="36"/>
                <w:szCs w:val="36"/>
              </w:rPr>
              <w:t>上海市2014年节能减排专项资金安排计划（第十批）</w:t>
            </w:r>
          </w:p>
        </w:tc>
      </w:tr>
      <w:tr w:rsidR="00AE0C2B" w:rsidRPr="00AE0C2B">
        <w:trPr>
          <w:trHeight w:val="682"/>
          <w:jc w:val="center"/>
        </w:trPr>
        <w:tc>
          <w:tcPr>
            <w:tcW w:w="673" w:type="dxa"/>
            <w:tcBorders>
              <w:top w:val="nil"/>
              <w:left w:val="single" w:sz="8" w:space="0" w:color="auto"/>
              <w:bottom w:val="single" w:sz="4" w:space="0" w:color="auto"/>
              <w:right w:val="single" w:sz="4" w:space="0" w:color="auto"/>
            </w:tcBorders>
            <w:shd w:val="clear" w:color="auto" w:fill="auto"/>
            <w:noWrap/>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序号</w:t>
            </w:r>
          </w:p>
        </w:tc>
        <w:tc>
          <w:tcPr>
            <w:tcW w:w="1520" w:type="dxa"/>
            <w:tcBorders>
              <w:top w:val="nil"/>
              <w:left w:val="nil"/>
              <w:bottom w:val="single" w:sz="4" w:space="0" w:color="auto"/>
              <w:right w:val="single" w:sz="4" w:space="0" w:color="auto"/>
            </w:tcBorders>
            <w:shd w:val="clear" w:color="auto" w:fill="auto"/>
            <w:noWrap/>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支持方向</w:t>
            </w:r>
          </w:p>
        </w:tc>
        <w:tc>
          <w:tcPr>
            <w:tcW w:w="89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金额</w:t>
            </w:r>
          </w:p>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（万元）</w:t>
            </w:r>
          </w:p>
        </w:tc>
        <w:tc>
          <w:tcPr>
            <w:tcW w:w="3402" w:type="dxa"/>
            <w:tcBorders>
              <w:top w:val="nil"/>
              <w:left w:val="nil"/>
              <w:bottom w:val="single" w:sz="4" w:space="0" w:color="auto"/>
              <w:right w:val="single" w:sz="4" w:space="0" w:color="auto"/>
            </w:tcBorders>
            <w:shd w:val="clear" w:color="auto" w:fill="auto"/>
            <w:noWrap/>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具体支持内容</w:t>
            </w:r>
          </w:p>
        </w:tc>
        <w:tc>
          <w:tcPr>
            <w:tcW w:w="1466" w:type="dxa"/>
            <w:tcBorders>
              <w:top w:val="nil"/>
              <w:left w:val="nil"/>
              <w:bottom w:val="single" w:sz="4" w:space="0" w:color="auto"/>
              <w:right w:val="single" w:sz="4" w:space="0" w:color="auto"/>
            </w:tcBorders>
            <w:shd w:val="clear" w:color="auto" w:fill="auto"/>
            <w:noWrap/>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负责部门</w:t>
            </w:r>
          </w:p>
        </w:tc>
        <w:tc>
          <w:tcPr>
            <w:tcW w:w="2645" w:type="dxa"/>
            <w:tcBorders>
              <w:top w:val="nil"/>
              <w:left w:val="nil"/>
              <w:bottom w:val="single" w:sz="4" w:space="0" w:color="auto"/>
              <w:right w:val="single" w:sz="8" w:space="0" w:color="auto"/>
            </w:tcBorders>
            <w:shd w:val="clear" w:color="auto" w:fill="auto"/>
            <w:noWrap/>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使用依据</w:t>
            </w:r>
          </w:p>
        </w:tc>
      </w:tr>
      <w:tr w:rsidR="00AE0C2B" w:rsidRPr="00AE0C2B">
        <w:trPr>
          <w:trHeight w:val="1183"/>
          <w:jc w:val="center"/>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4"/>
              </w:rPr>
              <w:t>1</w:t>
            </w:r>
          </w:p>
        </w:tc>
        <w:tc>
          <w:tcPr>
            <w:tcW w:w="152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产业结构调整</w:t>
            </w:r>
          </w:p>
        </w:tc>
        <w:tc>
          <w:tcPr>
            <w:tcW w:w="89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6100</w:t>
            </w:r>
          </w:p>
        </w:tc>
        <w:tc>
          <w:tcPr>
            <w:tcW w:w="3402"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安排宝钢集团2014年产业结构调整财政专项扶持资金6100万元</w:t>
            </w:r>
          </w:p>
        </w:tc>
        <w:tc>
          <w:tcPr>
            <w:tcW w:w="1466"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市经济信息化委</w:t>
            </w:r>
          </w:p>
        </w:tc>
        <w:tc>
          <w:tcPr>
            <w:tcW w:w="2645" w:type="dxa"/>
            <w:tcBorders>
              <w:top w:val="nil"/>
              <w:left w:val="nil"/>
              <w:bottom w:val="single" w:sz="4" w:space="0" w:color="auto"/>
              <w:right w:val="single" w:sz="8"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spacing w:val="-6"/>
                <w:kern w:val="0"/>
                <w:sz w:val="24"/>
                <w:szCs w:val="21"/>
              </w:rPr>
              <w:t>上海市节能减排专项资金管理办法》（沪府办发〔2008〕18号》、《上海市产业结构调整专项补助办法》（沪府办发〔2012〕18号）</w:t>
            </w:r>
          </w:p>
        </w:tc>
      </w:tr>
      <w:tr w:rsidR="00AE0C2B" w:rsidRPr="00AE0C2B">
        <w:trPr>
          <w:trHeight w:val="1477"/>
          <w:jc w:val="center"/>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2</w:t>
            </w:r>
          </w:p>
        </w:tc>
        <w:tc>
          <w:tcPr>
            <w:tcW w:w="152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合同能源管理</w:t>
            </w:r>
          </w:p>
        </w:tc>
        <w:tc>
          <w:tcPr>
            <w:tcW w:w="89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1829</w:t>
            </w:r>
          </w:p>
        </w:tc>
        <w:tc>
          <w:tcPr>
            <w:tcW w:w="3402"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安排2014年第一批88个项目节能量奖励地方财政补贴资金1520万元;前期诊断补贴279万元;第三方审核机构审核费用30万元;</w:t>
            </w:r>
          </w:p>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共计1829万元</w:t>
            </w:r>
          </w:p>
        </w:tc>
        <w:tc>
          <w:tcPr>
            <w:tcW w:w="1466"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市经济信息化委</w:t>
            </w:r>
          </w:p>
        </w:tc>
        <w:tc>
          <w:tcPr>
            <w:tcW w:w="2645" w:type="dxa"/>
            <w:tcBorders>
              <w:top w:val="nil"/>
              <w:left w:val="nil"/>
              <w:bottom w:val="single" w:sz="4" w:space="0" w:color="auto"/>
              <w:right w:val="single" w:sz="8"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《上海市合同能源管理项目财政奖励办法》（沪经信法〔2010〕833号）</w:t>
            </w:r>
          </w:p>
        </w:tc>
      </w:tr>
      <w:tr w:rsidR="00AE0C2B" w:rsidRPr="00AE0C2B">
        <w:trPr>
          <w:trHeight w:val="1113"/>
          <w:jc w:val="center"/>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3</w:t>
            </w:r>
          </w:p>
        </w:tc>
        <w:tc>
          <w:tcPr>
            <w:tcW w:w="152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节能技改</w:t>
            </w:r>
          </w:p>
        </w:tc>
        <w:tc>
          <w:tcPr>
            <w:tcW w:w="89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1404</w:t>
            </w:r>
          </w:p>
        </w:tc>
        <w:tc>
          <w:tcPr>
            <w:tcW w:w="3402"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安排2014年第一批34个节能技术改造项目第一笔50％补贴资金1404万元</w:t>
            </w:r>
          </w:p>
        </w:tc>
        <w:tc>
          <w:tcPr>
            <w:tcW w:w="1466"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市经济信息化委</w:t>
            </w:r>
          </w:p>
        </w:tc>
        <w:tc>
          <w:tcPr>
            <w:tcW w:w="2645" w:type="dxa"/>
            <w:tcBorders>
              <w:top w:val="nil"/>
              <w:left w:val="nil"/>
              <w:bottom w:val="single" w:sz="4" w:space="0" w:color="auto"/>
              <w:right w:val="single" w:sz="8"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《上海市节能技术改造项目专项扶持实施办法》（沪经信节〔2008〕484号）</w:t>
            </w:r>
          </w:p>
        </w:tc>
      </w:tr>
      <w:tr w:rsidR="00AE0C2B" w:rsidRPr="00AE0C2B">
        <w:trPr>
          <w:trHeight w:val="1271"/>
          <w:jc w:val="center"/>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4</w:t>
            </w:r>
          </w:p>
        </w:tc>
        <w:tc>
          <w:tcPr>
            <w:tcW w:w="152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清洁生产</w:t>
            </w:r>
          </w:p>
        </w:tc>
        <w:tc>
          <w:tcPr>
            <w:tcW w:w="89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469</w:t>
            </w:r>
          </w:p>
        </w:tc>
        <w:tc>
          <w:tcPr>
            <w:tcW w:w="3402"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安排2014年10个清洁生产中高费示范项目补贴资金469万元；</w:t>
            </w:r>
          </w:p>
        </w:tc>
        <w:tc>
          <w:tcPr>
            <w:tcW w:w="1466"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市经济信息化委</w:t>
            </w:r>
          </w:p>
        </w:tc>
        <w:tc>
          <w:tcPr>
            <w:tcW w:w="2645" w:type="dxa"/>
            <w:tcBorders>
              <w:top w:val="nil"/>
              <w:left w:val="nil"/>
              <w:bottom w:val="single" w:sz="4" w:space="0" w:color="auto"/>
              <w:right w:val="single" w:sz="8"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《上海市鼓励企业实施清洁生产专项扶持实施办法》（沪经节〔2009〕502号）</w:t>
            </w:r>
          </w:p>
        </w:tc>
      </w:tr>
      <w:tr w:rsidR="00AE0C2B" w:rsidRPr="00AE0C2B">
        <w:trPr>
          <w:trHeight w:val="1416"/>
          <w:jc w:val="center"/>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5</w:t>
            </w:r>
          </w:p>
        </w:tc>
        <w:tc>
          <w:tcPr>
            <w:tcW w:w="152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分布式供能和燃气空调</w:t>
            </w:r>
          </w:p>
        </w:tc>
        <w:tc>
          <w:tcPr>
            <w:tcW w:w="89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2376</w:t>
            </w:r>
          </w:p>
        </w:tc>
        <w:tc>
          <w:tcPr>
            <w:tcW w:w="3402"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安排2014年度 1个天然气分布式供能项目补贴资金2200万元，2个燃气空调项目补贴资金176万元，共计2376万元</w:t>
            </w:r>
          </w:p>
        </w:tc>
        <w:tc>
          <w:tcPr>
            <w:tcW w:w="1466"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市建设管理委、市发展改革委</w:t>
            </w:r>
          </w:p>
        </w:tc>
        <w:tc>
          <w:tcPr>
            <w:tcW w:w="2645" w:type="dxa"/>
            <w:tcBorders>
              <w:top w:val="nil"/>
              <w:left w:val="nil"/>
              <w:bottom w:val="single" w:sz="4" w:space="0" w:color="auto"/>
              <w:right w:val="single" w:sz="8"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《上海市天然气分布式供能系统和燃气空调发展专项扶持办法》（沪府办发〔2013〕14号）</w:t>
            </w:r>
          </w:p>
        </w:tc>
      </w:tr>
      <w:tr w:rsidR="00AE0C2B" w:rsidRPr="00AE0C2B">
        <w:trPr>
          <w:trHeight w:val="3677"/>
          <w:jc w:val="center"/>
        </w:trPr>
        <w:tc>
          <w:tcPr>
            <w:tcW w:w="673" w:type="dxa"/>
            <w:tcBorders>
              <w:top w:val="nil"/>
              <w:left w:val="single" w:sz="8" w:space="0" w:color="auto"/>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6</w:t>
            </w:r>
          </w:p>
        </w:tc>
        <w:tc>
          <w:tcPr>
            <w:tcW w:w="152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农作物秸秆综合利用</w:t>
            </w:r>
          </w:p>
        </w:tc>
        <w:tc>
          <w:tcPr>
            <w:tcW w:w="890"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3715</w:t>
            </w:r>
          </w:p>
        </w:tc>
        <w:tc>
          <w:tcPr>
            <w:tcW w:w="3402"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2014年“三夏”市级扶持资金3610万元（其中农作物秸秆机械化还田补贴资金2753万元，除还田外的秸秆综合利用补贴资金857万元），另安排第三方核查和信息系统日常维护费用105万元（其中安排2013年农作物秸秆综合利用核查第二笔50%资金52万元；安排2014年度农作物秸秆综合利用核查第一笔50%补贴资金53万元）</w:t>
            </w:r>
          </w:p>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共计3715万元</w:t>
            </w:r>
          </w:p>
        </w:tc>
        <w:tc>
          <w:tcPr>
            <w:tcW w:w="1466" w:type="dxa"/>
            <w:tcBorders>
              <w:top w:val="nil"/>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市农委、市发展改革委</w:t>
            </w:r>
          </w:p>
        </w:tc>
        <w:tc>
          <w:tcPr>
            <w:tcW w:w="2645" w:type="dxa"/>
            <w:tcBorders>
              <w:top w:val="nil"/>
              <w:left w:val="nil"/>
              <w:bottom w:val="single" w:sz="4" w:space="0" w:color="auto"/>
              <w:right w:val="single" w:sz="8"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上海市人民政府办公厅转发市发展改革委等四部门制订的〈关于本市推进农作物秸秆综合利用实施方案〉的通知》（沪府办发〔2011〕4号）和《关于继续实施农作物秸秆综合利用扶持政策的通知》（沪发改农经〔2013〕9号）</w:t>
            </w:r>
          </w:p>
        </w:tc>
      </w:tr>
      <w:tr w:rsidR="00AE0C2B" w:rsidRPr="00AE0C2B">
        <w:trPr>
          <w:trHeight w:val="5759"/>
          <w:jc w:val="center"/>
        </w:trPr>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lastRenderedPageBreak/>
              <w:t>7</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4"/>
              </w:rPr>
              <w:t>节能基础工作和能力建设</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433</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AE0C2B" w:rsidRPr="00AE0C2B" w:rsidRDefault="00AE0C2B" w:rsidP="00AE0C2B">
            <w:pPr>
              <w:widowControl/>
              <w:spacing w:line="320" w:lineRule="exact"/>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安排2011年“大型公共建筑温度控制专项监察体系建设”能力建设结转项目第二笔50％补贴资金163万元；</w:t>
            </w:r>
          </w:p>
          <w:p w:rsidR="00AE0C2B" w:rsidRPr="00AE0C2B" w:rsidRDefault="00AE0C2B" w:rsidP="00AE0C2B">
            <w:pPr>
              <w:widowControl/>
              <w:spacing w:line="320" w:lineRule="exact"/>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安排2012年“上海市重点用能单位能源计量现状及研究”等2个结转项目第二笔50%补贴资金53万元，安排“公共机构能源资源消耗用能水平分类研究”项目一次性全额补贴资金40万元，小计93万元；</w:t>
            </w:r>
          </w:p>
          <w:p w:rsidR="00AE0C2B" w:rsidRPr="00AE0C2B" w:rsidRDefault="00AE0C2B" w:rsidP="00AE0C2B">
            <w:pPr>
              <w:widowControl/>
              <w:spacing w:line="320" w:lineRule="exact"/>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安排2013年“上海市能评制度评估和完善”等3个结转项目第二笔50%补贴资金159万元；</w:t>
            </w:r>
          </w:p>
          <w:p w:rsidR="00AE0C2B" w:rsidRPr="00AE0C2B" w:rsidRDefault="00AE0C2B" w:rsidP="00AE0C2B">
            <w:pPr>
              <w:widowControl/>
              <w:spacing w:line="320" w:lineRule="exact"/>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安排2014年“长三角及区域碳市场拓展方案设计”项目第一笔50%补贴资金18万元；</w:t>
            </w:r>
          </w:p>
          <w:p w:rsidR="00AE0C2B" w:rsidRPr="00AE0C2B" w:rsidRDefault="00AE0C2B" w:rsidP="00AE0C2B">
            <w:pPr>
              <w:widowControl/>
              <w:spacing w:line="320" w:lineRule="exact"/>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共计433万元。</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市发展改革委、市经济信息化委、市机管局、市质量技监局</w:t>
            </w:r>
          </w:p>
        </w:tc>
        <w:tc>
          <w:tcPr>
            <w:tcW w:w="2645" w:type="dxa"/>
            <w:tcBorders>
              <w:top w:val="single" w:sz="4" w:space="0" w:color="auto"/>
              <w:left w:val="nil"/>
              <w:bottom w:val="single" w:sz="4" w:space="0" w:color="auto"/>
              <w:right w:val="single" w:sz="8" w:space="0" w:color="auto"/>
            </w:tcBorders>
            <w:shd w:val="clear" w:color="auto" w:fill="auto"/>
            <w:vAlign w:val="center"/>
            <w:hideMark/>
          </w:tcPr>
          <w:p w:rsidR="00AE0C2B" w:rsidRPr="00AE0C2B" w:rsidRDefault="00AE0C2B" w:rsidP="00AE0C2B">
            <w:pPr>
              <w:widowControl/>
              <w:ind w:firstLineChars="150" w:firstLine="360"/>
              <w:jc w:val="left"/>
              <w:rPr>
                <w:rFonts w:ascii="宋体" w:eastAsia="宋体" w:hAnsi="宋体" w:cs="宋体"/>
                <w:kern w:val="0"/>
                <w:sz w:val="24"/>
                <w:szCs w:val="24"/>
              </w:rPr>
            </w:pPr>
            <w:r w:rsidRPr="00AE0C2B">
              <w:rPr>
                <w:rFonts w:ascii="楷体_GB2312" w:eastAsia="楷体_GB2312" w:hAnsi="宋体" w:cs="宋体" w:hint="eastAsia"/>
                <w:color w:val="000000"/>
                <w:kern w:val="0"/>
                <w:sz w:val="24"/>
                <w:szCs w:val="21"/>
              </w:rPr>
              <w:t>《上海市节能降耗和应对气候变化基础工作及能力建设资金使用管理办法》（沪发改环资〔2011〕073号）</w:t>
            </w:r>
          </w:p>
        </w:tc>
      </w:tr>
      <w:tr w:rsidR="00AE0C2B" w:rsidRPr="00AE0C2B">
        <w:trPr>
          <w:trHeight w:val="551"/>
          <w:jc w:val="center"/>
        </w:trPr>
        <w:tc>
          <w:tcPr>
            <w:tcW w:w="673" w:type="dxa"/>
            <w:tcBorders>
              <w:top w:val="nil"/>
              <w:left w:val="single" w:sz="8" w:space="0" w:color="auto"/>
              <w:bottom w:val="single" w:sz="8" w:space="0" w:color="auto"/>
              <w:right w:val="single" w:sz="4" w:space="0" w:color="auto"/>
            </w:tcBorders>
            <w:shd w:val="clear" w:color="auto" w:fill="auto"/>
            <w:noWrap/>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小计</w:t>
            </w:r>
          </w:p>
        </w:tc>
        <w:tc>
          <w:tcPr>
            <w:tcW w:w="1520" w:type="dxa"/>
            <w:tcBorders>
              <w:top w:val="nil"/>
              <w:left w:val="nil"/>
              <w:bottom w:val="single" w:sz="8" w:space="0" w:color="auto"/>
              <w:right w:val="single" w:sz="4" w:space="0" w:color="auto"/>
            </w:tcBorders>
            <w:shd w:val="clear" w:color="auto" w:fill="auto"/>
            <w:noWrap/>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 xml:space="preserve">　</w:t>
            </w:r>
          </w:p>
        </w:tc>
        <w:tc>
          <w:tcPr>
            <w:tcW w:w="890" w:type="dxa"/>
            <w:tcBorders>
              <w:top w:val="nil"/>
              <w:left w:val="nil"/>
              <w:bottom w:val="single" w:sz="8" w:space="0" w:color="auto"/>
              <w:right w:val="single" w:sz="4" w:space="0" w:color="auto"/>
            </w:tcBorders>
            <w:shd w:val="clear" w:color="auto" w:fill="auto"/>
            <w:noWrap/>
            <w:vAlign w:val="center"/>
            <w:hideMark/>
          </w:tcPr>
          <w:p w:rsidR="00AE0C2B" w:rsidRPr="00AE0C2B" w:rsidRDefault="00AE0C2B" w:rsidP="00AE0C2B">
            <w:pPr>
              <w:widowControl/>
              <w:jc w:val="center"/>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16326</w:t>
            </w:r>
          </w:p>
        </w:tc>
        <w:tc>
          <w:tcPr>
            <w:tcW w:w="3402" w:type="dxa"/>
            <w:tcBorders>
              <w:top w:val="nil"/>
              <w:left w:val="nil"/>
              <w:bottom w:val="single" w:sz="8" w:space="0" w:color="auto"/>
              <w:right w:val="single" w:sz="4" w:space="0" w:color="auto"/>
            </w:tcBorders>
            <w:shd w:val="clear" w:color="auto" w:fill="auto"/>
            <w:noWrap/>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 xml:space="preserve">　</w:t>
            </w:r>
          </w:p>
        </w:tc>
        <w:tc>
          <w:tcPr>
            <w:tcW w:w="1466" w:type="dxa"/>
            <w:tcBorders>
              <w:top w:val="nil"/>
              <w:left w:val="nil"/>
              <w:bottom w:val="single" w:sz="8" w:space="0" w:color="auto"/>
              <w:right w:val="single" w:sz="4" w:space="0" w:color="auto"/>
            </w:tcBorders>
            <w:shd w:val="clear" w:color="auto" w:fill="auto"/>
            <w:noWrap/>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 xml:space="preserve">　</w:t>
            </w:r>
          </w:p>
        </w:tc>
        <w:tc>
          <w:tcPr>
            <w:tcW w:w="2645" w:type="dxa"/>
            <w:tcBorders>
              <w:top w:val="nil"/>
              <w:left w:val="nil"/>
              <w:bottom w:val="single" w:sz="8" w:space="0" w:color="auto"/>
              <w:right w:val="single" w:sz="8" w:space="0" w:color="auto"/>
            </w:tcBorders>
            <w:shd w:val="clear" w:color="auto" w:fill="auto"/>
            <w:noWrap/>
            <w:vAlign w:val="center"/>
            <w:hideMark/>
          </w:tcPr>
          <w:p w:rsidR="00AE0C2B" w:rsidRPr="00AE0C2B" w:rsidRDefault="00AE0C2B" w:rsidP="00AE0C2B">
            <w:pPr>
              <w:widowControl/>
              <w:jc w:val="left"/>
              <w:rPr>
                <w:rFonts w:ascii="宋体" w:eastAsia="宋体" w:hAnsi="宋体" w:cs="宋体"/>
                <w:kern w:val="0"/>
                <w:sz w:val="24"/>
                <w:szCs w:val="24"/>
              </w:rPr>
            </w:pPr>
            <w:r w:rsidRPr="00AE0C2B">
              <w:rPr>
                <w:rFonts w:ascii="楷体_GB2312" w:eastAsia="楷体_GB2312" w:hAnsi="宋体" w:cs="宋体" w:hint="eastAsia"/>
                <w:b/>
                <w:color w:val="000000"/>
                <w:kern w:val="0"/>
                <w:sz w:val="24"/>
                <w:szCs w:val="24"/>
              </w:rPr>
              <w:t xml:space="preserve">　</w:t>
            </w:r>
          </w:p>
        </w:tc>
      </w:tr>
    </w:tbl>
    <w:p w:rsidR="00AE0C2B" w:rsidRPr="00AE0C2B" w:rsidRDefault="00AE0C2B" w:rsidP="00AE0C2B">
      <w:pPr>
        <w:widowControl/>
        <w:spacing w:before="100" w:beforeAutospacing="1" w:after="100" w:afterAutospacing="1" w:line="300" w:lineRule="atLeast"/>
        <w:jc w:val="left"/>
        <w:rPr>
          <w:rFonts w:ascii="宋体" w:eastAsia="宋体" w:hAnsi="宋体" w:cs="宋体"/>
          <w:color w:val="000000"/>
          <w:kern w:val="0"/>
          <w:szCs w:val="21"/>
        </w:rPr>
      </w:pPr>
      <w:r w:rsidRPr="00AE0C2B">
        <w:rPr>
          <w:rFonts w:ascii="宋体" w:eastAsia="宋体" w:hAnsi="宋体" w:cs="宋体"/>
          <w:color w:val="000000"/>
          <w:kern w:val="0"/>
          <w:szCs w:val="21"/>
        </w:rPr>
        <w:t> </w:t>
      </w:r>
    </w:p>
    <w:p w:rsidR="00831B8F" w:rsidRDefault="00831B8F"/>
    <w:sectPr w:rsidR="00831B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B8F" w:rsidRDefault="00831B8F" w:rsidP="00AE0C2B">
      <w:r>
        <w:separator/>
      </w:r>
    </w:p>
  </w:endnote>
  <w:endnote w:type="continuationSeparator" w:id="1">
    <w:p w:rsidR="00831B8F" w:rsidRDefault="00831B8F" w:rsidP="00AE0C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B8F" w:rsidRDefault="00831B8F" w:rsidP="00AE0C2B">
      <w:r>
        <w:separator/>
      </w:r>
    </w:p>
  </w:footnote>
  <w:footnote w:type="continuationSeparator" w:id="1">
    <w:p w:rsidR="00831B8F" w:rsidRDefault="00831B8F" w:rsidP="00AE0C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C2B"/>
    <w:rsid w:val="00831B8F"/>
    <w:rsid w:val="00AE0C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0C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0C2B"/>
    <w:rPr>
      <w:sz w:val="18"/>
      <w:szCs w:val="18"/>
    </w:rPr>
  </w:style>
  <w:style w:type="paragraph" w:styleId="a4">
    <w:name w:val="footer"/>
    <w:basedOn w:val="a"/>
    <w:link w:val="Char0"/>
    <w:uiPriority w:val="99"/>
    <w:semiHidden/>
    <w:unhideWhenUsed/>
    <w:rsid w:val="00AE0C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0C2B"/>
    <w:rPr>
      <w:sz w:val="18"/>
      <w:szCs w:val="18"/>
    </w:rPr>
  </w:style>
  <w:style w:type="paragraph" w:styleId="a5">
    <w:name w:val="Normal (Web)"/>
    <w:basedOn w:val="a"/>
    <w:uiPriority w:val="99"/>
    <w:semiHidden/>
    <w:unhideWhenUsed/>
    <w:rsid w:val="00AE0C2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Company/>
  <LinksUpToDate>false</LinksUpToDate>
  <CharactersWithSpaces>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2014-12-03T06:03:00Z</dcterms:created>
  <dcterms:modified xsi:type="dcterms:W3CDTF">2014-12-03T06:03:00Z</dcterms:modified>
</cp:coreProperties>
</file>